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  <w:bookmarkStart w:id="0" w:name="_GoBack"/>
      <w:bookmarkEnd w:id="0"/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96226B" w:rsidRDefault="0096226B" w:rsidP="0096226B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>
        <w:t>(</w:t>
      </w:r>
      <w:r w:rsidRPr="0096226B">
        <w:rPr>
          <w:rFonts w:ascii="Times New Roman" w:hAnsi="Times New Roman"/>
          <w:b/>
          <w:sz w:val="24"/>
          <w:szCs w:val="24"/>
        </w:rPr>
        <w:t xml:space="preserve">в ред. </w:t>
      </w:r>
      <w:hyperlink r:id="rId8" w:history="1">
        <w:r w:rsidRPr="0096226B">
          <w:rPr>
            <w:rFonts w:ascii="Times New Roman" w:hAnsi="Times New Roman"/>
            <w:b/>
            <w:sz w:val="24"/>
            <w:szCs w:val="24"/>
          </w:rPr>
          <w:t>Приказа</w:t>
        </w:r>
      </w:hyperlink>
      <w:r w:rsidRPr="0096226B">
        <w:rPr>
          <w:rFonts w:ascii="Times New Roman" w:hAnsi="Times New Roman"/>
          <w:b/>
          <w:sz w:val="24"/>
          <w:szCs w:val="24"/>
        </w:rPr>
        <w:t xml:space="preserve"> Минтруда России от 05.08.2016 N 422н,  с из., внесенными </w:t>
      </w:r>
      <w:hyperlink r:id="rId9" w:history="1">
        <w:r w:rsidRPr="0096226B">
          <w:rPr>
            <w:rFonts w:ascii="Times New Roman" w:hAnsi="Times New Roman"/>
            <w:b/>
            <w:sz w:val="24"/>
            <w:szCs w:val="24"/>
          </w:rPr>
          <w:t>Приказом</w:t>
        </w:r>
      </w:hyperlink>
      <w:r w:rsidRPr="0096226B">
        <w:rPr>
          <w:rFonts w:ascii="Times New Roman" w:hAnsi="Times New Roman"/>
          <w:b/>
          <w:sz w:val="24"/>
          <w:szCs w:val="24"/>
        </w:rPr>
        <w:t xml:space="preserve"> Минтруда России от 25.12.2014 N 1115н)</w:t>
      </w: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945743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  <w:lang w:val="ru-RU" w:eastAsia="ru-RU"/>
              </w:rPr>
            </w:pPr>
            <w:r w:rsidRPr="00945743">
              <w:rPr>
                <w:sz w:val="24"/>
                <w:szCs w:val="24"/>
                <w:lang w:val="ru-RU" w:eastAsia="ru-RU"/>
              </w:rPr>
              <w:t>80.10.1</w:t>
            </w:r>
            <w:r w:rsidR="00EC405B" w:rsidRPr="00945743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945743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  <w:lang w:val="ru-RU" w:eastAsia="ru-RU"/>
              </w:rPr>
            </w:pPr>
            <w:r w:rsidRPr="00945743">
              <w:rPr>
                <w:sz w:val="24"/>
                <w:szCs w:val="24"/>
                <w:lang w:val="ru-RU" w:eastAsia="ru-RU"/>
              </w:rPr>
              <w:t>80.21.1</w:t>
            </w:r>
            <w:r w:rsidR="00EC405B" w:rsidRPr="00945743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10"/>
          <w:headerReference w:type="default" r:id="rId11"/>
          <w:footerReference w:type="even" r:id="rId12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3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1F710B" w:rsidRPr="001F710B" w:rsidRDefault="001F710B" w:rsidP="001F710B">
            <w:pPr>
              <w:pStyle w:val="ConsPlusNormal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1F710B">
              <w:rPr>
                <w:rFonts w:ascii="Times New Roman" w:hAnsi="Times New Roman"/>
                <w:sz w:val="24"/>
                <w:szCs w:val="24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C75E75" w:rsidRPr="001543DE" w:rsidRDefault="001F710B" w:rsidP="001F710B">
            <w:pPr>
              <w:spacing w:line="240" w:lineRule="auto"/>
              <w:rPr>
                <w:szCs w:val="24"/>
              </w:rPr>
            </w:pPr>
            <w:r w:rsidRPr="001F710B">
              <w:rPr>
                <w:szCs w:val="24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1" w:name="Par18"/>
            <w:bookmarkEnd w:id="1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lastRenderedPageBreak/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обучающимися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</w:t>
            </w:r>
            <w:r w:rsidR="002C749A" w:rsidRPr="001543DE">
              <w:rPr>
                <w:szCs w:val="24"/>
              </w:rPr>
              <w:lastRenderedPageBreak/>
              <w:t>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>всех обучающихся, в том 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r w:rsidR="005C0B0F" w:rsidRPr="001543DE">
              <w:rPr>
                <w:szCs w:val="24"/>
              </w:rPr>
              <w:t>ИКТ-компетентностями</w:t>
            </w:r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 xml:space="preserve">редметно-педагогическая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обучения по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01ABE" w:rsidRPr="00001ABE" w:rsidRDefault="00001ABE" w:rsidP="00001ABE">
      <w:pPr>
        <w:rPr>
          <w:vanish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r w:rsidR="0011188A" w:rsidRPr="001543DE">
              <w:rPr>
                <w:szCs w:val="24"/>
              </w:rPr>
              <w:t xml:space="preserve">обучающихся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</w:t>
            </w:r>
            <w:r w:rsidR="00A041E8" w:rsidRPr="001543DE">
              <w:lastRenderedPageBreak/>
              <w:t>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психодидактики,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жизни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>ы деятельностного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</w:t>
            </w:r>
            <w:r w:rsidR="00D57130" w:rsidRPr="001543DE">
              <w:t xml:space="preserve">дети с синдромом дефицита внимания и гиперактивностью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обучающимся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обучающихся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>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>психолого-педагогическую характеристику (портрет) личности обучающегося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>и метапредметные</w:t>
            </w:r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Возможные наименования </w:t>
            </w:r>
            <w:r w:rsidRPr="001543DE">
              <w:rPr>
                <w:sz w:val="20"/>
                <w:szCs w:val="20"/>
              </w:rPr>
              <w:lastRenderedPageBreak/>
              <w:t>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lastRenderedPageBreak/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1F710B" w:rsidRPr="001F710B" w:rsidRDefault="001F710B" w:rsidP="001F710B">
            <w:pPr>
              <w:pStyle w:val="ConsPlusNormal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1F710B">
              <w:rPr>
                <w:rFonts w:ascii="Times New Roman" w:hAnsi="Times New Roman"/>
                <w:sz w:val="24"/>
                <w:szCs w:val="24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C75E75" w:rsidRPr="001543DE" w:rsidRDefault="001F710B" w:rsidP="001F710B">
            <w:pPr>
              <w:spacing w:line="240" w:lineRule="auto"/>
              <w:rPr>
                <w:szCs w:val="24"/>
              </w:rPr>
            </w:pPr>
            <w:r w:rsidRPr="001F710B">
              <w:rPr>
                <w:szCs w:val="24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</w:t>
            </w:r>
            <w:r w:rsidRPr="001543DE">
              <w:rPr>
                <w:szCs w:val="24"/>
              </w:rPr>
              <w:lastRenderedPageBreak/>
              <w:t>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>исторический, деятельностный</w:t>
            </w:r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метапредметных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>рганизовать самостоятельную деятельность обучающихся,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>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>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логическому рассуждению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инициативы обучающихся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Профессиональное использование элементов информационной образовательной среды с учетом возможностей применения новых </w:t>
            </w:r>
            <w:r w:rsidRPr="001543DE">
              <w:rPr>
                <w:szCs w:val="24"/>
              </w:rPr>
              <w:lastRenderedPageBreak/>
              <w:t>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r w:rsidR="00F043B5" w:rsidRPr="001543DE">
              <w:rPr>
                <w:szCs w:val="24"/>
              </w:rPr>
              <w:t xml:space="preserve">обучающимся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</w:t>
            </w:r>
            <w:r w:rsidR="000A2412" w:rsidRPr="001543DE">
              <w:rPr>
                <w:szCs w:val="24"/>
              </w:rPr>
              <w:t xml:space="preserve">вые задачи </w:t>
            </w:r>
            <w:r w:rsidR="000A2412" w:rsidRPr="001543DE">
              <w:rPr>
                <w:szCs w:val="24"/>
              </w:rPr>
              <w:lastRenderedPageBreak/>
              <w:t>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>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>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r w:rsidR="006C2767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интернет-форумы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обучающихся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r w:rsidR="00BA4E8B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r w:rsidR="00B43BB7" w:rsidRPr="001543DE">
              <w:rPr>
                <w:szCs w:val="24"/>
              </w:rPr>
              <w:t>обучающихся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Моделирование видов профессиональной деятельности, где </w:t>
            </w:r>
            <w:r w:rsidRPr="001543DE">
              <w:rPr>
                <w:szCs w:val="24"/>
              </w:rPr>
              <w:lastRenderedPageBreak/>
              <w:t>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r w:rsidR="005629E2" w:rsidRPr="001543DE">
              <w:rPr>
                <w:szCs w:val="24"/>
              </w:rPr>
              <w:t>обучающихся</w:t>
            </w:r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родным языкам обучающихся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>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r w:rsidR="00A1020D" w:rsidRPr="001543DE">
              <w:rPr>
                <w:szCs w:val="24"/>
              </w:rPr>
              <w:t xml:space="preserve">обучающимся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ABE" w:rsidRDefault="00001ABE" w:rsidP="0085401D">
      <w:pPr>
        <w:spacing w:line="240" w:lineRule="auto"/>
      </w:pPr>
      <w:r>
        <w:separator/>
      </w:r>
    </w:p>
    <w:p w:rsidR="00001ABE" w:rsidRDefault="00001ABE"/>
  </w:endnote>
  <w:endnote w:type="continuationSeparator" w:id="0">
    <w:p w:rsidR="00001ABE" w:rsidRDefault="00001ABE" w:rsidP="0085401D">
      <w:pPr>
        <w:spacing w:line="240" w:lineRule="auto"/>
      </w:pPr>
      <w:r>
        <w:continuationSeparator/>
      </w:r>
    </w:p>
    <w:p w:rsidR="00001ABE" w:rsidRDefault="00001ABE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>Приказ Минз</w:t>
      </w:r>
      <w:r>
        <w:rPr>
          <w:sz w:val="20"/>
          <w:szCs w:val="20"/>
        </w:rPr>
        <w:t xml:space="preserve">дравсоцразвития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7F63E4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ABE" w:rsidRDefault="00001ABE" w:rsidP="0085401D">
      <w:pPr>
        <w:spacing w:line="240" w:lineRule="auto"/>
      </w:pPr>
      <w:r>
        <w:separator/>
      </w:r>
    </w:p>
    <w:p w:rsidR="00001ABE" w:rsidRDefault="00001ABE"/>
  </w:footnote>
  <w:footnote w:type="continuationSeparator" w:id="0">
    <w:p w:rsidR="00001ABE" w:rsidRDefault="00001ABE" w:rsidP="0085401D">
      <w:pPr>
        <w:spacing w:line="240" w:lineRule="auto"/>
      </w:pPr>
      <w:r>
        <w:continuationSeparator/>
      </w:r>
    </w:p>
    <w:p w:rsidR="00001ABE" w:rsidRDefault="00001A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7F63E4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Pr="00325397" w:rsidRDefault="007F63E4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FB1902" w:rsidRPr="00FB1902">
      <w:rPr>
        <w:noProof/>
      </w:rPr>
      <w:t>21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7F63E4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FB1902">
      <w:rPr>
        <w:noProof/>
      </w:rPr>
      <w:t>3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455"/>
    <w:rsid w:val="00001ABE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0B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7276"/>
    <w:rsid w:val="0068023D"/>
    <w:rsid w:val="006802E6"/>
    <w:rsid w:val="00680ACF"/>
    <w:rsid w:val="00681B98"/>
    <w:rsid w:val="00692E58"/>
    <w:rsid w:val="006A60EF"/>
    <w:rsid w:val="006B311E"/>
    <w:rsid w:val="006B32F5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C62F9"/>
    <w:rsid w:val="007D1060"/>
    <w:rsid w:val="007D1169"/>
    <w:rsid w:val="007E6E49"/>
    <w:rsid w:val="007F22FE"/>
    <w:rsid w:val="007F4724"/>
    <w:rsid w:val="007F63E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5743"/>
    <w:rsid w:val="009468E7"/>
    <w:rsid w:val="009552B4"/>
    <w:rsid w:val="00957AF7"/>
    <w:rsid w:val="00957D4C"/>
    <w:rsid w:val="0096096F"/>
    <w:rsid w:val="0096226B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564BE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74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5604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1902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  <w:lang w:val="x-none" w:eastAsia="x-none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  <w:lang w:val="x-none" w:eastAsia="x-none"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D1C1557570AF7809143BBF2362175A3E0668E8F3C2BCF01743006F6572342FE8C0042D55008579l3E6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D1C1557570AF7809143BBF2362175A3D016EEAF5C3BCF01743006F6572342FE8C0042D55008579l3E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D176D-1AF3-4898-A0DD-CCD4C25D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6752</Words>
  <Characters>38487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45149</CharactersWithSpaces>
  <SharedDoc>false</SharedDoc>
  <HLinks>
    <vt:vector size="12" baseType="variant">
      <vt:variant>
        <vt:i4>2949220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consultantplus://offline/ref=DBD1C1557570AF7809143BBF2362175A3D016EEAF5C3BCF01743006F6572342FE8C0042D55008579l3E6L</vt:lpwstr>
      </vt:variant>
      <vt:variant>
        <vt:lpwstr/>
      </vt:variant>
      <vt:variant>
        <vt:i4>2949217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consultantplus://offline/ref=DBD1C1557570AF7809143BBF2362175A3E0668E8F3C2BCF01743006F6572342FE8C0042D55008579l3E6L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Аксенова Наджеда Анатольевна</cp:lastModifiedBy>
  <cp:revision>2</cp:revision>
  <cp:lastPrinted>2016-10-14T10:21:00Z</cp:lastPrinted>
  <dcterms:created xsi:type="dcterms:W3CDTF">2019-08-26T12:16:00Z</dcterms:created>
  <dcterms:modified xsi:type="dcterms:W3CDTF">2019-08-26T12:16:00Z</dcterms:modified>
</cp:coreProperties>
</file>