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ПРИКАЗ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 30 октября 2025 года № 807</w:t>
      </w: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Об утверждении </w:t>
      </w:r>
      <w:hyperlink r:id="rId4" w:anchor="6500IL" w:history="1">
        <w:r w:rsidRPr="00240F55">
          <w:rPr>
            <w:rFonts w:ascii="Arial" w:eastAsia="Times New Roman" w:hAnsi="Arial" w:cs="Arial"/>
            <w:b/>
            <w:bCs/>
            <w:color w:val="2C4B99"/>
            <w:sz w:val="20"/>
            <w:u w:val="single"/>
            <w:lang w:eastAsia="ru-RU"/>
          </w:rPr>
          <w:t>Рекомендаций по поддержке студенческих семей</w:t>
        </w:r>
      </w:hyperlink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соответствии с </w:t>
      </w:r>
      <w:hyperlink r:id="rId5" w:anchor="8OU0LN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частью 3 статьи 8 Федерального закона от 30 декабря 2020 г. № 489-ФЗ "О молодежной политике в Российской Федерации"</w:t>
        </w:r>
      </w:hyperlink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приказываю: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Утвердить по согласованию с Министерством просвещения Российской Федерации, Министерством труда и социальной защиты Российской Федерации, Федеральным агентством по делам молодежи </w:t>
      </w:r>
      <w:hyperlink r:id="rId6" w:anchor="6500IL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Рекомендации по поддержке студенческих семей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Министр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В.Н.Фальков</w:t>
      </w:r>
    </w:p>
    <w:p w:rsidR="00240F55" w:rsidRPr="00240F55" w:rsidRDefault="00240F55" w:rsidP="00240F5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УТВЕРЖДЕНЫ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приказом Министерства науки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 высшего образования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Российской Федерации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 30 октября 2025 года № 807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Рекомендации по поддержке студенческих семей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I. Общие положения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Реализация демографической политики является одним из приоритетных направлений государственной политики, а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народосбережение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- одной из базовых составляющих демографической безопасности Российской Федерации.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Достижение задач по увеличению рождаемости определено национальной целью "Сохранение населения, укрепление здоровья и повышение благополучия людей, поддержка семьи", закрепленной в </w:t>
      </w:r>
      <w:hyperlink r:id="rId7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Указе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(далее - Указ), среди которых особую актуальность представляют вопросы укрепления здоровья и повышение благополучия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людей, поддержка семьи, роста рождаемости, развития мотивации к многодетности.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Механизмы достижения целевых показателей </w:t>
      </w:r>
      <w:hyperlink r:id="rId8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Указа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определены </w:t>
      </w:r>
      <w:hyperlink r:id="rId9" w:anchor="65C0IR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Стратегией действий по реализации семейной и демографической политики, поддержке многодетности в Российской Федерации до 2036 года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утвержденной </w:t>
      </w:r>
      <w:hyperlink r:id="rId10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распоряжением Правительства Российской Федерации от 15 марта 2025 г. № 615-р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а основным механизмом их достижения является реализация национального проекта "Семья", в рамках которого проводятся мероприятия, направленные на поддержку института семьи, популяризацию семейных ценностей среди населения, охрану материнства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детства, поддержку старшего поколения и многодетных семей.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рамках реализации федерального проекта "Поддержка семьи" национального проекта "Семья" реализуются мероприятия, направленные на создание инфраструктуры для студенческих и молодых семей с детьми в образовательных организациях, а также популяризацию традиционных семейных ценностей среди студенческой молодежи.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Настоящие Рекомендации по поддержке студенческих семей (далее - Рекомендации) содержат информацию о реализации семейной политики в организациях, осуществляющих образовательную деятельность по программам среднего профессионального и (или) высшего образования (далее соответственно - образовательная организация, организация СПО, университет), и разработаны в целях обеспечения возможности получения качественного образования обучающимися, относящимися к особому типу семей "молодая семья" и "студенческая семья", а также обучающимися с детьми, продолжения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исполнения трудовых обязанностей работниками образовательных организаций, имеющих детей, а также популяризации традиционных семейных ценностей среди студенческой молодежи.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________________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Пункты 2 и 2.1 </w:t>
      </w:r>
      <w:hyperlink r:id="rId11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30 декабря 2020 г. № 489-ФЗ "О молодежной политике в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(далее - </w:t>
      </w:r>
      <w:hyperlink r:id="rId12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Федеральный закон № 489-ФЗ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 целях формирования единых подходов к реализации семейной политики в образовательных организациях Рекомендации содержат положения о стандарте семейной политики, реализуемой в образовательных организациях всех форм собственности и 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 xml:space="preserve">ведомственной принадлежности, осуществляющих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обучение по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образовательным программам высшего и/или среднего профессионального образования.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Рекомендации разработаны в рамках деятельности рабочей группы по поддержке студенческих семей при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Минобрнауки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России.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Рекомендации направлены на реализацию семейной политики в образовательных организациях в целях формирования единых подходов к созданию комфортной среды в образовательных организациях для получения профессионального образования обучающимися, состоящими в браке (в том числе воспитывающих детей), и исполнения трудовых обязанностей работниками образовательных организаций из числа молодых семей, состоящих в браке, в том числе с детьми.</w:t>
      </w:r>
      <w:proofErr w:type="gramEnd"/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Общие вопросы по реализации семейной политики в образовательных организациях направлены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а) внедрение единого механизма информирования обучающихся и работников образовательных организаций о мерах и программах поддержки молодых и студенческих семей;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б) популяризацию традиционных семейных ценностей среди студенческой молодежи;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в) создание доступной инфраструктуры для молодых и студенческих семей, а также матерей (отцов) с детьми из числа обучающихся и работников образовательных организаций, направленной на обеспечение получения качественного образования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обучающимся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 детьми, продолжения исполнения трудовых обязанностей сотрудниками образовательных организаций с детьми;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г) организация консультационной поддержки обучающихся (психологической, юридической, медицинской, карьерной), в том числе представителей молодых и студенческих семей, в профилактических целях;</w:t>
      </w:r>
      <w:proofErr w:type="gramEnd"/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) формирование </w:t>
      </w: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системы оценки эффективности реализации работы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по сопровождению студенческих семей в образовательных организациях;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е) создание условий для привлекательности образовательной организации для потенциальных обучающихся и работников из числа молодых и студенческих семей.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Рекомендации определяют показатели реализации семейной политики в университетах, на основании мониторинга которых Министерство науки и высшего образования Российской Федерации ежегодно формирует рейтинг университетов в части реализации ими семейной политики. Указанные показатели включены в Лист оценки эффективности реализации семейной политики (</w:t>
      </w:r>
      <w:hyperlink r:id="rId13" w:anchor="7EA0KH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приложение № 1 к Рекомендациям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Рекомендации разработаны на основании: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Трудового кодекса Российской Федерации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19 мая 1995 г. № 81-ФЗ "О государственных пособиях гражданам, имеющим детей"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24 июля 1998 г. № 124-ФЗ "Об основных гарантиях прав ребенка в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24 октября 1997 г. № 134-ФЗ "О прожиточном минимуме в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17 июля 1999 г. № 178-ФЗ "О государственной социальной помощи"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9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29 декабря 2006 г. № 256-ФЗ "О дополнительных мерах государственной поддержки семей, имеющих детей"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0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21 ноября 2011 г. № 323-ФЗ "Об основах охраны здоровья граждан в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1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29 декабря 2012 г. № 273-ФЗ "Об образовании в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(далее - </w:t>
      </w:r>
      <w:hyperlink r:id="rId22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Федеральный закон № 273-ФЗ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3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№ 489-ФЗ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4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от 13 июля 2024 г. № 179-ФЗ "О ежегодной семейной выплате гражданам Российской Федерации, имеющим двух и более детей"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5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Указа Президента Российской Федерации от 2 июля 2021 г. № 400 "О Стратегии национальной безопасности Российской Федерации"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6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Указа Президента Российской Федерации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7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Указа Президента Российской Федерации от 23 января 2024 г. № 63 "О мерах социальной поддержки многодетных семей"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8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Указа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9" w:anchor="65A0IQ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Стратегии молодежной политики в Российской Федерации на период до 2030 года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утвержденной </w:t>
      </w:r>
      <w:hyperlink r:id="rId30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распоряжением Правительства Российской Федерации от 17 августа 2024 г. № 2233-р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1" w:anchor="65C0IR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Стратегии действий по реализации семейной и демографической политики, поддержке многодетности в Российской Федерации до 2036 года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утвержденной </w:t>
      </w:r>
      <w:hyperlink r:id="rId32" w:anchor="64S0IJ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распоряжением Правительства Российской Федерации от 15 марта 2025 г. № 615-р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3" w:anchor="7D20K3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приказа Министерства труда и социальной защиты Российской Федерации от 29 сентября 2020 г. № 668н "Об утверждении Порядка и условий назначения и выплаты государственных пособий гражданам, имеющим детей"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4" w:anchor="64S0IJ" w:history="1">
        <w:proofErr w:type="gramStart"/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приказа Министерства науки и высшего образования Российской Федерации от 28 августа 2023 г. № 822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</w:t>
        </w:r>
        <w:proofErr w:type="gramEnd"/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 xml:space="preserve"> </w:t>
        </w:r>
        <w:proofErr w:type="gramStart"/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числе средств, полученных от приносящей доход деятельности, добровольных пожертвований и целевых взносов физических и (или) юридических лиц"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  <w:proofErr w:type="gramEnd"/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протокола заседания проектного комитета по национальному проекту "Семья" от 19 февраля 2025 г. № 1пр под председательством Заместителя председателя Правительства Российской Федерации Т.Г.Голиковой;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протокола совещания по вопросам организации работы Совета при Президенте Российской Федерации по реализации государственной демографической и семейной политики от 11 марта 2025 г. под председательством Председателя Федерального Собрания Российской Федерации В.И.Матвиенко;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Стандарта инновационной образовательной среды (кампусов), утвержденного Министром науки и высшего образования Российской Федерации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В.Н.Фальковым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12 декабря 2024 г.;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методических рекомендаций по организации проживания студентов, имеющих детей, в жилых помещениях общежитий образовательных организаций высшего образования, утвержденных заместителем Министра науки и высшего образования Российской Федерации О.В.Петровой 5 сентября 2023 г.;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методических рекомендаций по открытию групп кратковременного пребывания детей и/или комнат матери и ребенка для студенческих семей в образовательных организациях высшего образования, утвержденных заместителем Министра науки и высшего образования Российской Федерации О.В.Петровой 21 сентября 2023 г.;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5" w:anchor="6500IL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методических рекомендаций по открытию в профессиональных образовательных организациях групп кратковременного пребывания детей и комнат матери и ребенка для студенческих семей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утвержденных заместителем Министра просвещения Российской Федерации Д.Е.Грибовым 11 сентября 2023 г.;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6" w:anchor="6520IM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рекомендаций по организации проживания в жилых помещениях общежитий студентов образовательных организаций, реализующих программы среднего профессионального образования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утвержденных Министерством просвещения Российской Федерации 14 декабря 2023 г.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В Рекомендациях используются следующие термины с соответствующими определениями: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молодая семья -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</w:t>
      </w: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03505" cy="230505"/>
            <wp:effectExtent l="19050" t="0" r="0" b="0"/>
            <wp:docPr id="1" name="Рисунок 1" descr="https://api.docs.cntd.ru/img/13/14/39/04/09/2b8b335a-5558-4d33-b437-360c4fe9945e/P008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13/14/39/04/09/2b8b335a-5558-4d33-b437-360c4fe9945e/P0089000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________________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03505" cy="230505"/>
            <wp:effectExtent l="19050" t="0" r="0" b="0"/>
            <wp:docPr id="2" name="Рисунок 2" descr="https://api.docs.cntd.ru/img/13/14/39/04/09/2b8b335a-5558-4d33-b437-360c4fe9945e/P008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13/14/39/04/09/2b8b335a-5558-4d33-b437-360c4fe9945e/P008B000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38" w:anchor="6560IO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Пункт 2 статьи 2 Федерального закона № 489-ФЗ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студенческая семья - категория молодой семьи, в которой оба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 являются обучающимися по образовательным программам среднего профессионального образования и (или) образовательным программам высшего образования</w:t>
      </w: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03505" cy="230505"/>
            <wp:effectExtent l="19050" t="0" r="0" b="0"/>
            <wp:docPr id="3" name="Рисунок 3" descr="https://api.docs.cntd.ru/img/13/14/39/04/09/2b8b335a-5558-4d33-b437-360c4fe9945e/P008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13/14/39/04/09/2b8b335a-5558-4d33-b437-360c4fe9945e/P008E000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________________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03505" cy="230505"/>
            <wp:effectExtent l="19050" t="0" r="0" b="0"/>
            <wp:docPr id="4" name="Рисунок 4" descr="https://api.docs.cntd.ru/img/13/14/39/04/09/2b8b335a-5558-4d33-b437-360c4fe9945e/P009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13/14/39/04/09/2b8b335a-5558-4d33-b437-360c4fe9945e/P0090000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Пункт 2.1 </w:t>
      </w:r>
      <w:hyperlink r:id="rId40" w:anchor="64U0IK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Федерального закона № 489-ФЗ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многодетная семья - семья, имеющая трех и более детей, статус которой устанавливается бессрочно;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________________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hyperlink r:id="rId41" w:anchor="6500IL" w:history="1">
        <w:r w:rsidRPr="00240F55">
          <w:rPr>
            <w:rFonts w:ascii="Arial" w:eastAsia="Times New Roman" w:hAnsi="Arial" w:cs="Arial"/>
            <w:color w:val="2C4B99"/>
            <w:sz w:val="20"/>
            <w:u w:val="single"/>
            <w:lang w:eastAsia="ru-RU"/>
          </w:rPr>
          <w:t>Пункт 1 Указа Президента РФ от 23 января 2024 г. № 63 "О мерах социальной поддержки многодетных семей"</w:t>
        </w:r>
      </w:hyperlink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инфраструктура молодежной политики - система государственных и муниципальных учреждений, осуществляющих деятельность по реализации молодежной политики, иных организаций, в том числе используемых ими объектов недвижимого имущества, обеспечивающих возможность оказания услуг и проведения мероприятий, направленных на улучшение социально-экономического положения и развитие молодежи, поддержку молодых семей и молодежных общественных объединений, а также реализацию основных направлений молодежной политики</w:t>
      </w:r>
      <w:r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03505" cy="230505"/>
            <wp:effectExtent l="19050" t="0" r="0" b="0"/>
            <wp:docPr id="5" name="Рисунок 5" descr="https://api.docs.cntd.ru/img/13/14/39/04/09/2b8b335a-5558-4d33-b437-360c4fe9945e/P009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13/14/39/04/09/2b8b335a-5558-4d33-b437-360c4fe9945e/P0098000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г) мероприятия спортивной направленности, пропагандирующие здоровый образ жизни, активный семейный отдых, ценность совместного семейного досуга.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Мероприятия массового характера для студенческой молодежи, студенческих семей и матерей (отцов) с детьми рекомендовано проводить на свежем воздухе, преимущественно в выходной день с целью организации пространства семейного праздника, Целью мероприятий рекомендуется определять семейное сплочение, популяризацию семейных ценностей и активного семейного досуга;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 конкурсы различной направленности, целью которых является популяризация семейных ценностей.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проведению мероприятий рекомендуется привлекать студенческие семьи, студенческие семьи с детьми, студенческую молодежь. Форматы конкурсов выбираются образовательной организацией самостоятельно, исходя из запроса студенческой аудитории. Целью проведения конкурсов является популяризация традиционных семейных ценностей, рождение первого ребенка в студенческие годы (для этого предусматриваются специальные номинации для молодых студенческих семей с детьми);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е) мероприятия, приуроченные к датам всероссийских семейных праздников: День защиты детей, День семьи, любви и верности, День матери, День отца, День молодежи, которые приурочены к главным семейным праздникам России популяризируют семейные ценности, сплоченность общества вокруг идеи традиционных семейных ценностей и семьи как важного института государства;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ж)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медиапроекты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социальных сетях образовательной организации.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Медиапроекты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представляют собой серию публикаций в социальных сетях университета. Цель проектов - популяризация семейных ценностей, продвижение идеи создания семьи и рождения детей в студенческие годы. Преимущества проекта - большой охват целевой (молодежной) аудитории.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Образовательной организации рекомендуется проводить с обучающимися регулярную работу по информированию обучающихся о возможности участия во всероссийских мероприятиях для студенческих семей, а также в мероприятиях, направленных на сохранение и популяризацию традиционных семейных ценностей в студенческой среде, формируемых в рамках реализации федерального проекта "Поддержка семьи" национального проекта "Семья" (Всероссийский конкурс "Семья года", Всероссийский конкурс семей "Это у нас семейное", ежегодные просветительские мероприятия</w:t>
      </w:r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Минобрнауки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России для студенческих семей и обучающихся с детьми, мероприятия Межвузовского плана по популяризации семейных ценностей, мероприятия для молодых семей в рамках деятельности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Росмолодежи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), а также проектах и мероприятиях Общероссийского общественно-государственного движения детей и молодежи "Движение первых" и иных общественных организаций, направленных на работу с молодыми и студенческими семьями и популяризацию традиционных семейных ценностей.</w:t>
      </w:r>
      <w:proofErr w:type="gramEnd"/>
    </w:p>
    <w:p w:rsidR="00240F55" w:rsidRPr="00240F55" w:rsidRDefault="00240F55" w:rsidP="00240F5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VII. Размещение информации о реализации семейной политики в образовательной организации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25. Информацию о реализации семейной политики рекомендуется размещать на официальном сайте образовательной организации в информационно-телекоммуникационной сети "Интернет" с указанием следующей информации: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общий перечень мер поддержки, реализуемых образовательной организацией, по которым можно получить консультацию (например, денежные выплаты, единовременная материальная помощь, предоставление семейных комнат в общежитии);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контактные данные структуры/специалистов, оказывающих помощь в получении мер поддержки (адрес, контактный номер телефона, адрес электронной почты, часы работы);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 xml:space="preserve">- иная информация на усмотрение образовательной организации (можно дать ссылки на ресурсы с перечнем федеральных или региональных мер поддержки; для университетов - на страницу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Минобрнауки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России, посвященную "единому окну": https://minobrnauki.gov.ru/about/deps/dgmpispvsvo/year_family/window/; ссылки на нормативные акты)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26. Информацию о реализации семейной политики рекомендуется размещать в отдельно сформированном разделе, или существующих тематических разделах, посвященных социальной поддержке обучающихся и сотрудников образовательной организации.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Дополнительно о реализации семейной политики можно проинформировать сотрудников и обучающихся посредством: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деятельности органов студенческого самоуправления образовательной организации/профсоюзных организаций и института старост;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инструментов визуального оформления (информационные стенды, памятки);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размещения информации в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аккаунтах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на страницах в социальных сетях и </w:t>
      </w:r>
      <w:proofErr w:type="spell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мессенджерах</w:t>
      </w:r>
      <w:proofErr w:type="spell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образовательной организации;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деятельности профильных структур и объединений в образовательной организации (клубы молодых семей, деканаты, центры социальной поддержки);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проведения встреч ректора и проректора, а также руководителей профильных структурных подразделений, курирующих направления по мерам поддержки (например, психологами, юристами и иными специалистами образовательной организации) с молодыми и студенческими семьями.</w:t>
      </w:r>
    </w:p>
    <w:p w:rsidR="00240F55" w:rsidRPr="00240F55" w:rsidRDefault="00240F55" w:rsidP="00240F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Допускается создание информационного ресурса для дистанционного информирования представителей образовательной организации посредством горячей линии, разработки мобильных приложений, </w:t>
      </w:r>
      <w:proofErr w:type="spellStart"/>
      <w:proofErr w:type="gramStart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чат-ботов</w:t>
      </w:r>
      <w:proofErr w:type="spellEnd"/>
      <w:proofErr w:type="gramEnd"/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240F55" w:rsidRPr="00240F55" w:rsidRDefault="00240F55" w:rsidP="00240F55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Приложение № 1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Рекомендациям по поддержке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студенческих семей, утвержденных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приказом Министерства науки и высшего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образования Российской Федерации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 30 октября 2025 года № 807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Лист оценки эффективности реализации семейной политики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3087"/>
        <w:gridCol w:w="2469"/>
        <w:gridCol w:w="3159"/>
      </w:tblGrid>
      <w:tr w:rsidR="00240F55" w:rsidRPr="00240F55" w:rsidTr="00240F5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F55" w:rsidRPr="00240F55" w:rsidRDefault="00240F55" w:rsidP="002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F55" w:rsidRPr="00240F55" w:rsidRDefault="00240F55" w:rsidP="002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F55" w:rsidRPr="00240F55" w:rsidRDefault="00240F55" w:rsidP="002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F55" w:rsidRPr="00240F55" w:rsidRDefault="00240F55" w:rsidP="002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наличии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данных, подтверждающий исполнение показателя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по сопровождению студенческих семей и обучающихся с детьми закреплены за проректором университета/заместителем руководителя организации СПО локальным нормативным актом образовательной организации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- 1 балл/нет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Локальный нормативный акт образовательной организации о закреплении указанных полномочий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образовательной организации предусмотрены меры материальной поддержки студенческих семей и обучающихся с детьми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- 1 балл/нет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Локальный нормативный акт образовательной организации, закрепляющий меры материальной поддержки студенческих семей и обучающихся с детьми,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образовательной организации предусмотрены меры материальной поддержки молодых семей из числа АУП и ППС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- 1 балл/нет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Локальный нормативный акт образовательной организации, закрепляющий меры материальной поддержки молодых семей из числа АУП и ППС,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образовательной организации выстроен механизм информирования/</w:t>
            </w:r>
          </w:p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консультирования (в том числе в формате "единого окна") представителей молодых и студенческих семей о мерах поддержки, реализуемых на всех уровнях (федеральный, региональный, уровень образовательной организации)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 - 1 балл/нет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Локальный нормативный акт образовательной организации, закрепляющий за </w:t>
            </w: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</w:t>
            </w:r>
            <w:proofErr w:type="gramStart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м(</w:t>
            </w:r>
            <w:proofErr w:type="gramEnd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 подразделением(</w:t>
            </w:r>
            <w:proofErr w:type="spellStart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proofErr w:type="spellEnd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полномочий информирования/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консультирования представителей молодых и студенческих семей,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образовательной организации создана доступная инфраструктура для молодых семей с детьми (группа кратковременного пребывания детей (ГКПД)/комната матери и ребенка (КМИР)/детский сад/иные учреждения дошкольного образования в структуре образовательной организации)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более одной ГКПД в образовательной организации (включая филиалы) - 5 баллов за каждую ГКПД;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Да, более одной КМИР в образовательной организации (включая филиалы) - 4 балла за каждую КМИР;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Локальный нормативный акт образовательной организации о КМИР/ГКПД/детском саде/ином учреждении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одна КМИР и/или ГКПД - 3 балла;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Да, одна КМИР или ГКПД - 2 балла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 - 0 баллов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0F55" w:rsidRPr="00240F55" w:rsidTr="00240F55"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детского сада, иного учреждения дошкольного образования за данный пункт добавляется 5 баллов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образовательной организации созданы условия для молодых и студенческих семей, испытывающих потребность в совместном проживании (предоставляются семейные комнаты в общежитии, оказывается помощь в аренде жилых помещений)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Да, предоставляются семейные комнаты в </w:t>
            </w:r>
            <w:proofErr w:type="gramStart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общежитии</w:t>
            </w:r>
            <w:proofErr w:type="gramEnd"/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оказывается помощь в аренде жилых помещений - 5 баллов;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Да, предоставляются семейные комнаты или оказывается помощь в аренде жилых помещений - 3 балла;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Да, оказывается иная помощь по решению жилищного вопроса семьи - 1 балл;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Локальный нормативный акт образовательной организации, закрепляющий информацию об оказании молодым и студенческим семьям помощи в решении жилищного вопроса, и размещение информации на официальном сайте образовательной организации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Образовательной организацией выстроено взаимодействие с региональными (муниципальными) органами власти в сфере социальной защиты населения в части сопровождения студенческих семей и обучающихся с детьми (проводятся встречи, </w:t>
            </w: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консультации, оказывается в помощь в оформлении документов, обеспечивается своевременное информирование о реализуемых мерах и программах поддержки)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Да, работа проводится на регулярной основе - 2 балла;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Да, работа проводится разово - 1 балл;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взаимодействие с региональным (муниципальным) органом власти в сфере социальной защиты населения в части сопровождения студенческих семей и обучающихся с детьми (например, договор/соглашение и др.) и размещение информации </w:t>
            </w: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официальном сайте образовательной организации об анонсах и результатах встреч с представителями региональных (муниципальных) органов власти</w:t>
            </w:r>
          </w:p>
        </w:tc>
      </w:tr>
      <w:tr w:rsidR="00240F55" w:rsidRPr="00240F55" w:rsidTr="00240F5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официальных информационных ресурсах образовательной организации размещена информация о действующих мерах поддержки студенческих семей и обучающихся с детьми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- 1 балл;</w:t>
            </w:r>
          </w:p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 - 0 баллов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0F55" w:rsidRPr="00240F55" w:rsidRDefault="00240F55" w:rsidP="00240F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образовательной организации размещен раздел о поддержке молодых и студенческих семей, обучающихся с детьми</w:t>
            </w:r>
          </w:p>
        </w:tc>
      </w:tr>
    </w:tbl>
    <w:p w:rsidR="00240F55" w:rsidRPr="00240F55" w:rsidRDefault="00240F55" w:rsidP="00240F55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Приложение № 2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Рекомендациям по поддержке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студенческих семей, утвержденных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приказом Министерства науки и высшего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образования Российской Федерации</w:t>
      </w:r>
    </w:p>
    <w:p w:rsidR="00240F55" w:rsidRPr="00240F55" w:rsidRDefault="00240F55" w:rsidP="00240F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 30 октября 2025 года № 807</w:t>
      </w:r>
    </w:p>
    <w:p w:rsidR="00240F55" w:rsidRPr="00240F55" w:rsidRDefault="00240F55" w:rsidP="00240F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Схема взаимодействия молодых и студенческих семей, матерей (отцов) с детьми, образовательных организаций и социальных служб в субъектах Российской Федерации</w:t>
      </w:r>
    </w:p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240F55" w:rsidRPr="00240F55" w:rsidTr="00240F55">
        <w:trPr>
          <w:trHeight w:val="15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0F55" w:rsidRPr="00240F55" w:rsidRDefault="00240F55" w:rsidP="002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240F55" w:rsidRPr="00240F55" w:rsidTr="00240F55">
        <w:trPr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0F55" w:rsidRPr="00240F55" w:rsidRDefault="00240F55" w:rsidP="00240F5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764530" cy="3172460"/>
                  <wp:effectExtent l="19050" t="0" r="7620" b="0"/>
                  <wp:docPr id="6" name="Рисунок 6" descr="https://api.docs.cntd.ru/img/13/14/39/04/09/2b8b335a-5558-4d33-b437-360c4fe9945e/P02C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13/14/39/04/09/2b8b335a-5558-4d33-b437-360c4fe9945e/P02C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530" cy="317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F55" w:rsidRPr="00240F55" w:rsidRDefault="00240F55" w:rsidP="00240F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40F5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Электронный текст документа</w:t>
      </w:r>
    </w:p>
    <w:p w:rsidR="00C83C40" w:rsidRDefault="00C83C40"/>
    <w:sectPr w:rsidR="00C83C40" w:rsidSect="00C8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0F55"/>
    <w:rsid w:val="00240F55"/>
    <w:rsid w:val="00C8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40"/>
  </w:style>
  <w:style w:type="paragraph" w:styleId="2">
    <w:name w:val="heading 2"/>
    <w:basedOn w:val="a"/>
    <w:link w:val="20"/>
    <w:uiPriority w:val="9"/>
    <w:qFormat/>
    <w:rsid w:val="00240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0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4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0F55"/>
    <w:rPr>
      <w:color w:val="0000FF"/>
      <w:u w:val="single"/>
    </w:rPr>
  </w:style>
  <w:style w:type="paragraph" w:customStyle="1" w:styleId="formattext">
    <w:name w:val="formattext"/>
    <w:basedOn w:val="a"/>
    <w:rsid w:val="0024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4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hyperlink" Target="https://docs.cntd.ru/document/1314390409" TargetMode="External"/><Relationship Id="rId18" Type="http://schemas.openxmlformats.org/officeDocument/2006/relationships/hyperlink" Target="https://docs.cntd.ru/document/901738835" TargetMode="External"/><Relationship Id="rId26" Type="http://schemas.openxmlformats.org/officeDocument/2006/relationships/hyperlink" Target="https://docs.cntd.ru/document/352246667" TargetMode="External"/><Relationship Id="rId39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89617" TargetMode="External"/><Relationship Id="rId34" Type="http://schemas.openxmlformats.org/officeDocument/2006/relationships/hyperlink" Target="https://docs.cntd.ru/document/1303085063" TargetMode="External"/><Relationship Id="rId42" Type="http://schemas.openxmlformats.org/officeDocument/2006/relationships/image" Target="media/image3.png"/><Relationship Id="rId7" Type="http://schemas.openxmlformats.org/officeDocument/2006/relationships/hyperlink" Target="https://docs.cntd.ru/document/1305894187" TargetMode="External"/><Relationship Id="rId12" Type="http://schemas.openxmlformats.org/officeDocument/2006/relationships/hyperlink" Target="https://docs.cntd.ru/document/573248507" TargetMode="External"/><Relationship Id="rId17" Type="http://schemas.openxmlformats.org/officeDocument/2006/relationships/hyperlink" Target="https://docs.cntd.ru/document/9051229" TargetMode="External"/><Relationship Id="rId25" Type="http://schemas.openxmlformats.org/officeDocument/2006/relationships/hyperlink" Target="https://docs.cntd.ru/document/607148290" TargetMode="External"/><Relationship Id="rId33" Type="http://schemas.openxmlformats.org/officeDocument/2006/relationships/hyperlink" Target="https://docs.cntd.ru/document/566085718" TargetMode="External"/><Relationship Id="rId38" Type="http://schemas.openxmlformats.org/officeDocument/2006/relationships/hyperlink" Target="https://docs.cntd.ru/document/5732485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713538" TargetMode="External"/><Relationship Id="rId20" Type="http://schemas.openxmlformats.org/officeDocument/2006/relationships/hyperlink" Target="https://docs.cntd.ru/document/902312609" TargetMode="External"/><Relationship Id="rId29" Type="http://schemas.openxmlformats.org/officeDocument/2006/relationships/hyperlink" Target="https://docs.cntd.ru/document/1307068392" TargetMode="External"/><Relationship Id="rId41" Type="http://schemas.openxmlformats.org/officeDocument/2006/relationships/hyperlink" Target="https://docs.cntd.ru/document/13047109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4390409" TargetMode="External"/><Relationship Id="rId11" Type="http://schemas.openxmlformats.org/officeDocument/2006/relationships/hyperlink" Target="https://docs.cntd.ru/document/573248507" TargetMode="External"/><Relationship Id="rId24" Type="http://schemas.openxmlformats.org/officeDocument/2006/relationships/hyperlink" Target="https://docs.cntd.ru/document/1306662041" TargetMode="External"/><Relationship Id="rId32" Type="http://schemas.openxmlformats.org/officeDocument/2006/relationships/hyperlink" Target="https://docs.cntd.ru/document/1312101629" TargetMode="External"/><Relationship Id="rId37" Type="http://schemas.openxmlformats.org/officeDocument/2006/relationships/image" Target="media/image1.png"/><Relationship Id="rId40" Type="http://schemas.openxmlformats.org/officeDocument/2006/relationships/hyperlink" Target="https://docs.cntd.ru/document/57324850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cs.cntd.ru/document/573248507" TargetMode="External"/><Relationship Id="rId15" Type="http://schemas.openxmlformats.org/officeDocument/2006/relationships/hyperlink" Target="https://docs.cntd.ru/document/9035383" TargetMode="External"/><Relationship Id="rId23" Type="http://schemas.openxmlformats.org/officeDocument/2006/relationships/hyperlink" Target="https://docs.cntd.ru/document/573248507" TargetMode="External"/><Relationship Id="rId28" Type="http://schemas.openxmlformats.org/officeDocument/2006/relationships/hyperlink" Target="https://docs.cntd.ru/document/1305894187" TargetMode="External"/><Relationship Id="rId36" Type="http://schemas.openxmlformats.org/officeDocument/2006/relationships/hyperlink" Target="https://docs.cntd.ru/document/1307477375" TargetMode="External"/><Relationship Id="rId10" Type="http://schemas.openxmlformats.org/officeDocument/2006/relationships/hyperlink" Target="https://docs.cntd.ru/document/1312101629" TargetMode="External"/><Relationship Id="rId19" Type="http://schemas.openxmlformats.org/officeDocument/2006/relationships/hyperlink" Target="https://docs.cntd.ru/document/902021711" TargetMode="External"/><Relationship Id="rId31" Type="http://schemas.openxmlformats.org/officeDocument/2006/relationships/hyperlink" Target="https://docs.cntd.ru/document/131210162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docs.cntd.ru/document/1314390409" TargetMode="External"/><Relationship Id="rId9" Type="http://schemas.openxmlformats.org/officeDocument/2006/relationships/hyperlink" Target="https://docs.cntd.ru/document/1312101629" TargetMode="External"/><Relationship Id="rId14" Type="http://schemas.openxmlformats.org/officeDocument/2006/relationships/hyperlink" Target="https://docs.cntd.ru/document/901807664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1304710940" TargetMode="External"/><Relationship Id="rId30" Type="http://schemas.openxmlformats.org/officeDocument/2006/relationships/hyperlink" Target="https://docs.cntd.ru/document/1307068392" TargetMode="External"/><Relationship Id="rId35" Type="http://schemas.openxmlformats.org/officeDocument/2006/relationships/hyperlink" Target="https://docs.cntd.ru/document/1303264215" TargetMode="External"/><Relationship Id="rId4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3673</Words>
  <Characters>20940</Characters>
  <Application>Microsoft Office Word</Application>
  <DocSecurity>0</DocSecurity>
  <Lines>174</Lines>
  <Paragraphs>49</Paragraphs>
  <ScaleCrop>false</ScaleCrop>
  <Company>Grizli777</Company>
  <LinksUpToDate>false</LinksUpToDate>
  <CharactersWithSpaces>24564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arzamasova.nv</dc:creator>
  <cp:lastModifiedBy>arzamasova.nv</cp:lastModifiedBy>
  <cp:revision>1</cp:revision>
  <dcterms:created xsi:type="dcterms:W3CDTF">2026-03-12T11:34:00Z</dcterms:created>
  <dcterms:modified xsi:type="dcterms:W3CDTF">2026-03-12T11:34:00Z</dcterms:modified>
</cp:coreProperties>
</file>