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sz w:val="32"/>
          <w:szCs w:val="32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75565</wp:posOffset>
            </wp:positionH>
            <wp:positionV relativeFrom="paragraph">
              <wp:posOffset>0</wp:posOffset>
            </wp:positionV>
            <wp:extent cx="2438400" cy="969010"/>
            <wp:effectExtent b="0" l="0" r="0" t="0"/>
            <wp:wrapSquare wrapText="bothSides" distB="0" distT="0" distL="114300" distR="114300"/>
            <wp:docPr id="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96901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1">
      <w:pPr>
        <w:contextualSpacing w:val="0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rPr>
          <w:sz w:val="32"/>
          <w:szCs w:val="32"/>
        </w:rPr>
      </w:pPr>
      <w:bookmarkStart w:colFirst="0" w:colLast="0" w:name="_30j0zll" w:id="1"/>
      <w:bookmarkEnd w:id="1"/>
      <w:r w:rsidDel="00000000" w:rsidR="00000000" w:rsidRPr="00000000">
        <w:rPr>
          <w:sz w:val="32"/>
          <w:szCs w:val="32"/>
          <w:rtl w:val="0"/>
        </w:rPr>
        <w:t xml:space="preserve">ЭКСПОФОРУМ</w:t>
      </w:r>
    </w:p>
    <w:p w:rsidR="00000000" w:rsidDel="00000000" w:rsidP="00000000" w:rsidRDefault="00000000" w:rsidRPr="00000000" w14:paraId="00000004">
      <w:pPr>
        <w:contextualSpacing w:val="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18.04.2018   9.00-13.45 </w:t>
      </w:r>
    </w:p>
    <w:p w:rsidR="00000000" w:rsidDel="00000000" w:rsidP="00000000" w:rsidRDefault="00000000" w:rsidRPr="00000000" w14:paraId="00000005">
      <w:pPr>
        <w:contextualSpacing w:val="0"/>
        <w:jc w:val="center"/>
        <w:rPr>
          <w:color w:val="cc0000"/>
        </w:rPr>
      </w:pPr>
      <w:r w:rsidDel="00000000" w:rsidR="00000000" w:rsidRPr="00000000">
        <w:rPr>
          <w:color w:val="cc0000"/>
          <w:sz w:val="32"/>
          <w:szCs w:val="32"/>
          <w:rtl w:val="0"/>
        </w:rPr>
        <w:t xml:space="preserve">Проект секции </w:t>
      </w:r>
      <w:r w:rsidDel="00000000" w:rsidR="00000000" w:rsidRPr="00000000">
        <w:rPr>
          <w:rFonts w:ascii="Arial" w:cs="Arial" w:eastAsia="Arial" w:hAnsi="Arial"/>
          <w:color w:val="cc0000"/>
          <w:sz w:val="24"/>
          <w:szCs w:val="24"/>
          <w:rtl w:val="0"/>
        </w:rPr>
        <w:t xml:space="preserve">«</w:t>
      </w:r>
      <w:r w:rsidDel="00000000" w:rsidR="00000000" w:rsidRPr="00000000">
        <w:rPr>
          <w:rFonts w:ascii="Arial" w:cs="Arial" w:eastAsia="Arial" w:hAnsi="Arial"/>
          <w:b w:val="1"/>
          <w:color w:val="cc0000"/>
          <w:sz w:val="24"/>
          <w:szCs w:val="24"/>
          <w:rtl w:val="0"/>
        </w:rPr>
        <w:t xml:space="preserve">Новые векторы развития и функционирования нефтегазовой отрасли в реалиях всеобщей цифровизации»</w:t>
      </w:r>
      <w:r w:rsidDel="00000000" w:rsidR="00000000" w:rsidRPr="00000000">
        <w:rPr>
          <w:rFonts w:ascii="Arial" w:cs="Arial" w:eastAsia="Arial" w:hAnsi="Arial"/>
          <w:color w:val="cc0000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05"/>
        <w:gridCol w:w="5760"/>
        <w:gridCol w:w="2295"/>
        <w:tblGridChange w:id="0">
          <w:tblGrid>
            <w:gridCol w:w="1305"/>
            <w:gridCol w:w="5760"/>
            <w:gridCol w:w="2295"/>
          </w:tblGrid>
        </w:tblGridChange>
      </w:tblGrid>
      <w:tr>
        <w:tc>
          <w:tcPr/>
          <w:p w:rsidR="00000000" w:rsidDel="00000000" w:rsidP="00000000" w:rsidRDefault="00000000" w:rsidRPr="00000000" w14:paraId="00000006">
            <w:pPr>
              <w:widowControl w:val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ВРЕМЯ</w:t>
            </w:r>
          </w:p>
        </w:tc>
        <w:tc>
          <w:tcPr/>
          <w:p w:rsidR="00000000" w:rsidDel="00000000" w:rsidP="00000000" w:rsidRDefault="00000000" w:rsidRPr="00000000" w14:paraId="00000007">
            <w:pPr>
              <w:widowControl w:val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МЕРОПРИЯТИЕ</w:t>
            </w:r>
          </w:p>
        </w:tc>
        <w:tc>
          <w:tcPr/>
          <w:p w:rsidR="00000000" w:rsidDel="00000000" w:rsidP="00000000" w:rsidRDefault="00000000" w:rsidRPr="00000000" w14:paraId="00000008">
            <w:pPr>
              <w:widowControl w:val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ДОКЛАДЧИКИ</w:t>
            </w:r>
          </w:p>
        </w:tc>
      </w:tr>
      <w:tr>
        <w:tc>
          <w:tcPr/>
          <w:p w:rsidR="00000000" w:rsidDel="00000000" w:rsidP="00000000" w:rsidRDefault="00000000" w:rsidRPr="00000000" w14:paraId="00000009">
            <w:pPr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9.00-11.00</w:t>
            </w:r>
          </w:p>
        </w:tc>
        <w:tc>
          <w:tcPr/>
          <w:p w:rsidR="00000000" w:rsidDel="00000000" w:rsidP="00000000" w:rsidRDefault="00000000" w:rsidRPr="00000000" w14:paraId="0000000A">
            <w:pPr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«Новые векторы развития и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функционирования нефтегазовой отрасли в реалиях всеобщей цифровизации»</w:t>
            </w:r>
            <w:r w:rsidDel="00000000" w:rsidR="00000000" w:rsidRPr="00000000">
              <w:rPr>
                <w:b w:val="1"/>
                <w:rtl w:val="0"/>
              </w:rPr>
              <w:t xml:space="preserve">. </w:t>
            </w:r>
            <w:r w:rsidDel="00000000" w:rsidR="00000000" w:rsidRPr="00000000">
              <w:rPr>
                <w:rtl w:val="0"/>
              </w:rPr>
              <w:t xml:space="preserve">Доклады и презентации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numPr>
                <w:ilvl w:val="0"/>
                <w:numId w:val="1"/>
              </w:numPr>
              <w:spacing w:line="276" w:lineRule="auto"/>
              <w:ind w:left="720" w:hanging="360"/>
              <w:contextualSpacing w:val="1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Управление эффективностью. От поставки продукции – к продаже услуг. Обмен данными между поставщиками и потребителями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1"/>
              </w:numPr>
              <w:spacing w:line="276" w:lineRule="auto"/>
              <w:ind w:left="720" w:hanging="360"/>
              <w:contextualSpacing w:val="1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Цифровое импортоопережение: опыт и перспективы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1"/>
              </w:numPr>
              <w:spacing w:line="276" w:lineRule="auto"/>
              <w:ind w:left="720" w:hanging="360"/>
              <w:contextualSpacing w:val="1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Интернет вещей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1"/>
              </w:numPr>
              <w:spacing w:line="276" w:lineRule="auto"/>
              <w:ind w:left="720" w:hanging="360"/>
              <w:contextualSpacing w:val="1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Искусственный интеллект. Цифровой персонал. Использование ИИ при поиске и разработке новых месторождений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line="276" w:lineRule="auto"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Газпром нефть, Газпром нефть – Снабжение, ИТСК, Accenture, Яндекс</w:t>
            </w:r>
          </w:p>
          <w:p w:rsidR="00000000" w:rsidDel="00000000" w:rsidP="00000000" w:rsidRDefault="00000000" w:rsidRPr="00000000" w14:paraId="00000012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3">
            <w:pPr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11.30-13.30</w:t>
            </w:r>
          </w:p>
        </w:tc>
        <w:tc>
          <w:tcPr/>
          <w:p w:rsidR="00000000" w:rsidDel="00000000" w:rsidP="00000000" w:rsidRDefault="00000000" w:rsidRPr="00000000" w14:paraId="00000014">
            <w:pPr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«Нехватка кадров при тотальной роботизации». </w:t>
            </w:r>
            <w:r w:rsidDel="00000000" w:rsidR="00000000" w:rsidRPr="00000000">
              <w:rPr>
                <w:rtl w:val="0"/>
              </w:rPr>
              <w:t xml:space="preserve">Панельная дискуссия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spacing w:line="276" w:lineRule="auto"/>
              <w:ind w:left="720" w:hanging="360"/>
              <w:contextualSpacing w:val="1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Направления движения технологическое отрасли логистики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spacing w:line="276" w:lineRule="auto"/>
              <w:ind w:left="720" w:hanging="360"/>
              <w:contextualSpacing w:val="1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Роботизация закупок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spacing w:line="276" w:lineRule="auto"/>
              <w:ind w:left="720" w:hanging="360"/>
              <w:contextualSpacing w:val="1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Блокчейн с учетом правовой базы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spacing w:line="276" w:lineRule="auto"/>
              <w:ind w:left="720" w:hanging="360"/>
              <w:contextualSpacing w:val="1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Единый цифровой документ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spacing w:line="276" w:lineRule="auto"/>
              <w:ind w:left="720" w:hanging="360"/>
              <w:contextualSpacing w:val="1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Смартконтракты</w:t>
            </w:r>
          </w:p>
          <w:p w:rsidR="00000000" w:rsidDel="00000000" w:rsidP="00000000" w:rsidRDefault="00000000" w:rsidRPr="00000000" w14:paraId="0000001A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Газпром нефть, Газпром нефть-снабжение, ГПН-Шельф, ГПН-Хантос, Кюне Нагел, Сбербанк, DHL, Статойл, Ямал СНГ, Яндекс, ЧТПЗ, ЭТП-Газпромбанк, Сколтех, РЖД, МИСИ</w:t>
            </w:r>
            <w:r w:rsidDel="00000000" w:rsidR="00000000" w:rsidRPr="00000000">
              <w:rPr>
                <w:b w:val="1"/>
                <w:rtl w:val="0"/>
              </w:rPr>
              <w:t xml:space="preserve">С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Предлагаемый перечень проектов для презентаций: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contextualSpacing w:val="1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Технология IoT и Blockhain  в закупках и управлении цепочками поставок (Совместный доклад ГПН-Снабжение и ГПН Шельф);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contextualSpacing w:val="1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Перспективные беспилотные технологии в логистике северных регионов (Совместный доклад ГПН-Снабжение и ГПН-Ямал);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contextualSpacing w:val="1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Расширение возможностей человека при организации складской логистики (ГПН-Снабжение и ГПН-Хантос);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contextualSpacing w:val="1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«Внедрение роботизированных интерфейсов в бизнес-процессы» - Центр робототехники ПАО «Сбербанк»;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contextualSpacing w:val="1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«Взаимодействие ВИНК и IT-компаний при инициации инновационных проектов» - Фонд Сколково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Также в рамках секции возможно подписать ряд партнерских соглашений о совместной реализации инновационных проектов;</w:t>
      </w:r>
    </w:p>
    <w:p w:rsidR="00000000" w:rsidDel="00000000" w:rsidP="00000000" w:rsidRDefault="00000000" w:rsidRPr="00000000" w14:paraId="00000024">
      <w:pPr>
        <w:contextualSpacing w:val="0"/>
        <w:rPr/>
      </w:pPr>
      <w:r w:rsidDel="00000000" w:rsidR="00000000" w:rsidRPr="00000000">
        <w:rPr>
          <w:rtl w:val="0"/>
        </w:rPr>
        <w:t xml:space="preserve">Модератор: Леонид Коник, главный редактор ComNews</w:t>
      </w:r>
    </w:p>
    <w:sectPr>
      <w:pgSz w:h="16838" w:w="11906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ru-R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